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78" w:rsidRPr="005B6F78" w:rsidRDefault="005B6F78" w:rsidP="005B6F78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545454"/>
          <w:sz w:val="36"/>
          <w:szCs w:val="36"/>
          <w:lang w:eastAsia="ru-RU"/>
        </w:rPr>
      </w:pPr>
      <w:r w:rsidRPr="005B6F78">
        <w:rPr>
          <w:rFonts w:ascii="inherit" w:eastAsia="Times New Roman" w:hAnsi="inherit" w:cs="Helvetica"/>
          <w:color w:val="545454"/>
          <w:sz w:val="36"/>
          <w:szCs w:val="36"/>
          <w:lang w:eastAsia="ru-RU"/>
        </w:rPr>
        <w:t>Конференция «Инженеры будущего»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>Научно-практическая конференция «Инженеры будущего» проводится в рамках мероприятий городского проекта «Инженерный класс в московской школе» с целью обсуждения проблем развития основного и среднего общего образования инженерной направленности, определения актуальных эффективных моделей реализации профильного обучения с учетом потребностей экономики Москвы, использования научного и культурно-образовательного пространства Москвы, а также представления новых образовательных достижений учащихся инженерных классов.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>Организатором Конференции является Департамент образования города Москвы, а участниками конференции - обучающиеся инженерных классов, педагоги образовательных организаций проекта, сотрудники организаций высшего образования, руководители практик и представители производств.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>Конференция будет проходить в течение двух дней.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>Этапами конференции станут пленарное и секционные заседания, интернет-конференция, круглый стол, дискуссионная площадка, выставка проектных и исследовательских работ.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>Результаты участия обучающихся в конференции будут учитываться при расчете суммы баллов для поступления в профильный ВУЗ.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Материалы докладов участников конференции будут размещены на сайте проекта </w:t>
      </w:r>
      <w:hyperlink r:id="rId5" w:history="1"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>http://profil.mos.ru</w:t>
        </w:r>
      </w:hyperlink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b/>
          <w:bCs/>
          <w:color w:val="545454"/>
          <w:sz w:val="18"/>
          <w:szCs w:val="18"/>
          <w:lang w:eastAsia="ru-RU"/>
        </w:rPr>
        <w:t>Конференция «Инженеры будущего» в 2018 году:</w:t>
      </w:r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5B6F78" w:rsidRPr="005B6F78" w:rsidRDefault="005B6F78" w:rsidP="005B6F78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Roboto" w:eastAsia="Times New Roman" w:hAnsi="Roboto" w:cs="Helvetica"/>
          <w:b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b/>
          <w:color w:val="545454"/>
          <w:sz w:val="18"/>
          <w:szCs w:val="18"/>
          <w:lang w:eastAsia="ru-RU"/>
        </w:rPr>
        <w:t>Даты проведения: 19 и 20 апреля 2018 года.</w:t>
      </w:r>
    </w:p>
    <w:p w:rsidR="005B6F78" w:rsidRPr="005B6F78" w:rsidRDefault="005B6F78" w:rsidP="005B6F78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Roboto" w:eastAsia="Times New Roman" w:hAnsi="Roboto" w:cs="Helvetica"/>
          <w:b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b/>
          <w:color w:val="545454"/>
          <w:sz w:val="18"/>
          <w:szCs w:val="18"/>
          <w:lang w:eastAsia="ru-RU"/>
        </w:rPr>
        <w:t>Время проведения: с 10:00 до 17:00.</w:t>
      </w:r>
    </w:p>
    <w:p w:rsidR="005B6F78" w:rsidRPr="005B6F78" w:rsidRDefault="005B6F78" w:rsidP="005B6F78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Roboto" w:eastAsia="Times New Roman" w:hAnsi="Roboto" w:cs="Helvetica"/>
          <w:b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b/>
          <w:color w:val="545454"/>
          <w:sz w:val="18"/>
          <w:szCs w:val="18"/>
          <w:lang w:eastAsia="ru-RU"/>
        </w:rPr>
        <w:t>Даты размещения заявки и работы участником конференции: до 1 марта 2018 года.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b/>
          <w:bCs/>
          <w:color w:val="545454"/>
          <w:sz w:val="18"/>
          <w:szCs w:val="18"/>
          <w:lang w:eastAsia="ru-RU"/>
        </w:rPr>
        <w:t>Адрес электронной почты Проектного офиса:</w:t>
      </w:r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  <w:hyperlink r:id="rId6" w:history="1"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>eng@edu.mos.ru</w:t>
        </w:r>
      </w:hyperlink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hyperlink r:id="rId7" w:history="1"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>Протокол заседания Организационного комитета открытой научно-практической конференции «Инженеры будущего» от 26 октября 2016 года</w:t>
        </w:r>
      </w:hyperlink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hyperlink r:id="rId8" w:history="1"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>Протокол № 2 заседания Организационного комитета Городской открытой научно-практической конференции «Инженеры будущего» от 11 апреля 2017 года</w:t>
        </w:r>
      </w:hyperlink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hyperlink r:id="rId9" w:history="1"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>Положение об открытой научно-практической конференции «Инженеры будущего»</w:t>
        </w:r>
      </w:hyperlink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hyperlink r:id="rId10" w:history="1"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>Требования к презентационным материалам</w:t>
        </w:r>
      </w:hyperlink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hyperlink r:id="rId11" w:history="1"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 xml:space="preserve">Требования к </w:t>
        </w:r>
        <w:proofErr w:type="spellStart"/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>к</w:t>
        </w:r>
        <w:proofErr w:type="spellEnd"/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 xml:space="preserve"> учебному проекту или учебно-исследовательской работе</w:t>
        </w:r>
      </w:hyperlink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hyperlink r:id="rId12" w:history="1"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>Критерии и баллы экспертной оценки работы / выступления участника Конференции</w:t>
        </w:r>
      </w:hyperlink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>Для представления доклада в формате стендовый доклад необходимо использовать ролл ап (</w:t>
      </w:r>
      <w:proofErr w:type="spellStart"/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>roll</w:t>
      </w:r>
      <w:proofErr w:type="spellEnd"/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  <w:proofErr w:type="spellStart"/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>up</w:t>
      </w:r>
      <w:proofErr w:type="spellEnd"/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>) — раздвижной мобильный стенд с механизмом автоматического сматывания информационного полотна в рулон. Стенд должен быть на подставке. Размер стенда 1 метр - ширина, 2 метра - высота.</w:t>
      </w:r>
    </w:p>
    <w:p w:rsidR="005B6F78" w:rsidRPr="005B6F78" w:rsidRDefault="005B6F78" w:rsidP="005B6F78">
      <w:pPr>
        <w:spacing w:after="225" w:line="330" w:lineRule="atLeast"/>
        <w:jc w:val="both"/>
        <w:rPr>
          <w:rFonts w:ascii="Roboto" w:eastAsia="Times New Roman" w:hAnsi="Roboto" w:cs="Helvetica"/>
          <w:color w:val="545454"/>
          <w:sz w:val="18"/>
          <w:szCs w:val="18"/>
          <w:lang w:eastAsia="ru-RU"/>
        </w:rPr>
      </w:pPr>
      <w:hyperlink r:id="rId13" w:history="1"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>Руководство по заполнению стендов</w:t>
        </w:r>
      </w:hyperlink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  <w:r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   </w:t>
      </w:r>
      <w:hyperlink r:id="rId14" w:history="1">
        <w:r w:rsidRPr="005B6F78">
          <w:rPr>
            <w:rFonts w:ascii="Roboto" w:eastAsia="Times New Roman" w:hAnsi="Roboto" w:cs="Helvetica"/>
            <w:color w:val="337AB7"/>
            <w:sz w:val="18"/>
            <w:szCs w:val="18"/>
            <w:lang w:eastAsia="ru-RU"/>
          </w:rPr>
          <w:t>Стенд</w:t>
        </w:r>
      </w:hyperlink>
      <w:r w:rsidRPr="005B6F78">
        <w:rPr>
          <w:rFonts w:ascii="Roboto" w:eastAsia="Times New Roman" w:hAnsi="Roboto" w:cs="Helvetica"/>
          <w:color w:val="545454"/>
          <w:sz w:val="18"/>
          <w:szCs w:val="18"/>
          <w:lang w:eastAsia="ru-RU"/>
        </w:rPr>
        <w:t xml:space="preserve"> </w:t>
      </w:r>
    </w:p>
    <w:sectPr w:rsidR="005B6F78" w:rsidRPr="005B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0F2A"/>
    <w:multiLevelType w:val="multilevel"/>
    <w:tmpl w:val="F7CC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D5"/>
    <w:rsid w:val="005B6F78"/>
    <w:rsid w:val="005E4FEC"/>
    <w:rsid w:val="008329E3"/>
    <w:rsid w:val="00F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AA21-1476-44CD-A20D-7FDA33C6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6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3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profil.mos.ru/files/doc/inj/protocol_ot_11_04_2017.pdf" TargetMode="External"/><Relationship Id="rId13" Type="http://schemas.openxmlformats.org/officeDocument/2006/relationships/hyperlink" Target="http://conf.profil.mos.ru/files/doc/inj/stan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.profil.mos.ru/files/doc/protokol_ot_26_10_2016.PDF" TargetMode="External"/><Relationship Id="rId12" Type="http://schemas.openxmlformats.org/officeDocument/2006/relationships/hyperlink" Target="http://conf.profil.mos.ru/files/doc/inj/criteri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ng@edu.mos.ru" TargetMode="External"/><Relationship Id="rId11" Type="http://schemas.openxmlformats.org/officeDocument/2006/relationships/hyperlink" Target="http://conf.profil.mos.ru/files/doc/Trebovaniya%20k%20proecty%20ili%20rabote_2017.docx" TargetMode="External"/><Relationship Id="rId5" Type="http://schemas.openxmlformats.org/officeDocument/2006/relationships/hyperlink" Target="http://profil.mo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onf.profil.mos.ru/files/doc/Trebovaniya%20k%20prezentacii_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.profil.mos.ru/files/doc/polojenie_2017.pdf" TargetMode="External"/><Relationship Id="rId14" Type="http://schemas.openxmlformats.org/officeDocument/2006/relationships/hyperlink" Target="http://conf.profil.mos.ru/files/doc/inj/Stand_I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Резепова</dc:creator>
  <cp:keywords/>
  <dc:description/>
  <cp:lastModifiedBy>Резепова</cp:lastModifiedBy>
  <cp:revision>2</cp:revision>
  <dcterms:created xsi:type="dcterms:W3CDTF">2018-02-09T07:32:00Z</dcterms:created>
  <dcterms:modified xsi:type="dcterms:W3CDTF">2018-02-09T07:34:00Z</dcterms:modified>
</cp:coreProperties>
</file>